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88" w:rsidRPr="00C035A0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【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2025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】十</w:t>
      </w:r>
      <w:r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二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月投资展望：</w:t>
      </w:r>
      <w:r w:rsidRPr="00C035A0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 xml:space="preserve"> </w:t>
      </w:r>
      <w:r w:rsidR="0061721C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市场</w:t>
      </w:r>
      <w:r w:rsidR="00C035A0" w:rsidRPr="00C035A0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或</w:t>
      </w:r>
      <w:r w:rsidR="00C035A0" w:rsidRPr="00C035A0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向上发动跨年行情</w:t>
      </w:r>
    </w:p>
    <w:p w:rsidR="00565D88" w:rsidRPr="00CE1A9A" w:rsidRDefault="00565D88" w:rsidP="00BF6156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565D88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</w:t>
      </w:r>
      <w:r w:rsidRPr="00565D88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A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股市场整体呈现震荡调整格局，</w:t>
      </w:r>
      <w:r w:rsidR="005640CA"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沪指终结了月线六连阳</w:t>
      </w:r>
      <w:r w:rsidR="005640C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上证</w:t>
      </w:r>
      <w:proofErr w:type="gramStart"/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指数月</w:t>
      </w:r>
      <w:proofErr w:type="gramEnd"/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累计下跌</w:t>
      </w:r>
      <w:r w:rsidRPr="00565D88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1.67%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，创业板指累计下跌</w:t>
      </w:r>
      <w:r w:rsidRPr="00565D88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4.23%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proofErr w:type="gramStart"/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而北证</w:t>
      </w:r>
      <w:proofErr w:type="gramEnd"/>
      <w:r w:rsidRPr="00565D88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50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指数</w:t>
      </w:r>
      <w:r w:rsidR="005640C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累计下跌</w:t>
      </w:r>
      <w:r w:rsidRPr="00565D88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12.32%</w:t>
      </w:r>
      <w:r w:rsidRPr="00565D88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</w:t>
      </w:r>
      <w:r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月市场</w:t>
      </w:r>
      <w:r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将</w:t>
      </w:r>
      <w:r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如何演绎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？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proofErr w:type="gramStart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凯石基金</w:t>
      </w:r>
      <w:proofErr w:type="gramEnd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从经济基本面、资金面、政策面、国际面、汇率及市场面六个对市场影响显著的因素出发，对股市与债市进行回顾与展望。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一、投资展望</w:t>
      </w:r>
    </w:p>
    <w:p w:rsidR="00C035A0" w:rsidRDefault="00565D88" w:rsidP="0096046A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A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股展望：</w:t>
      </w:r>
      <w:r w:rsidR="00C035A0" w:rsidRPr="00C035A0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科技创新引领新质生产力发展</w:t>
      </w:r>
    </w:p>
    <w:p w:rsidR="0096046A" w:rsidRPr="0096046A" w:rsidRDefault="0096046A" w:rsidP="0096046A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96046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当前市场正处于重要的政策</w:t>
      </w:r>
      <w:bookmarkStart w:id="0" w:name="_GoBack"/>
      <w:bookmarkEnd w:id="0"/>
      <w:r w:rsidRPr="0096046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窗口期，中央经济工作会议以及美联储议</w:t>
      </w:r>
      <w:proofErr w:type="gramStart"/>
      <w:r w:rsidRPr="0096046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息会议</w:t>
      </w:r>
      <w:proofErr w:type="gramEnd"/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成为市场关注的焦点</w:t>
      </w:r>
      <w:r w:rsidRPr="0096046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。部分机构认为</w:t>
      </w:r>
      <w:r w:rsidRPr="005640C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预计将延续</w:t>
      </w:r>
      <w:r w:rsidRPr="005640C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“</w:t>
      </w:r>
      <w:r w:rsidRPr="005640C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稳中求进、以进促稳</w:t>
      </w:r>
      <w:r w:rsidRPr="005640C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”</w:t>
      </w:r>
      <w:r w:rsidRPr="005640C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的总基调，强调实施更加积极的财政政策和适度宽松的货币政策。重点政策方向将围绕全方位扩大内需，包括消费提振和投资增效两大主线；以科技创新引领新质生产力发展，聚焦</w:t>
      </w:r>
      <w:r w:rsidRPr="005640C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AI</w:t>
      </w:r>
      <w:r w:rsidRPr="005640C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、半导体、高端制造等领域</w:t>
      </w:r>
      <w:r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。展望</w:t>
      </w:r>
      <w:r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12</w:t>
      </w:r>
      <w:r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</w:t>
      </w:r>
      <w:r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</w:t>
      </w:r>
      <w:r w:rsidRPr="0096046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市场在经历了数月的震荡蓄势后，</w:t>
      </w:r>
      <w:r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或</w:t>
      </w:r>
      <w:r w:rsidRPr="0096046A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选择向上发动跨年行情。</w:t>
      </w:r>
    </w:p>
    <w:p w:rsidR="003D0A77" w:rsidRDefault="00565D88" w:rsidP="003D0A77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债市展望：</w:t>
      </w:r>
      <w:r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或</w:t>
      </w:r>
      <w:r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维持</w:t>
      </w:r>
      <w:r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震荡</w:t>
      </w:r>
      <w:r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格局</w:t>
      </w:r>
    </w:p>
    <w:p w:rsidR="003D0A77" w:rsidRPr="003D0A77" w:rsidRDefault="003D0A77" w:rsidP="003D0A77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2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D244C6">
        <w:rPr>
          <w:rFonts w:hint="eastAsia"/>
          <w:lang w:eastAsia="zh-CN"/>
        </w:rPr>
        <w:t>总体看，当前经济基本面和适度宽松的货币政策环境对债市</w:t>
      </w:r>
      <w:r>
        <w:rPr>
          <w:rFonts w:eastAsiaTheme="minorEastAsia" w:hint="eastAsia"/>
          <w:lang w:eastAsia="zh-CN"/>
        </w:rPr>
        <w:t>偏</w:t>
      </w:r>
      <w:r>
        <w:rPr>
          <w:rFonts w:eastAsiaTheme="minorEastAsia"/>
          <w:lang w:eastAsia="zh-CN"/>
        </w:rPr>
        <w:t>友好</w:t>
      </w:r>
      <w:r>
        <w:rPr>
          <w:rFonts w:eastAsiaTheme="minorEastAsia" w:hint="eastAsia"/>
          <w:lang w:eastAsia="zh-CN"/>
        </w:rPr>
        <w:t>。</w:t>
      </w:r>
      <w:r w:rsidRPr="003D0A77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市场核心驱动因素从资金面转向基本面与政策面博弈，经济弱复苏、美联储降息周期启动及国内科</w:t>
      </w:r>
      <w:proofErr w:type="gramStart"/>
      <w:r w:rsidRPr="003D0A77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创政策</w:t>
      </w:r>
      <w:proofErr w:type="gramEnd"/>
      <w:r w:rsidRPr="003D0A77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发力将主导债市运行节奏。</w:t>
      </w:r>
      <w:r w:rsidRPr="0013597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赎回费新</w:t>
      </w:r>
      <w:proofErr w:type="gramStart"/>
      <w:r w:rsidRPr="0013597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规</w:t>
      </w:r>
      <w:proofErr w:type="gramEnd"/>
      <w:r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、银行年底赎回等</w:t>
      </w:r>
      <w:r w:rsidRPr="0013597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会对机构行为造成扰动，</w:t>
      </w:r>
      <w:r w:rsidRPr="00D244C6">
        <w:rPr>
          <w:rFonts w:hint="eastAsia"/>
          <w:lang w:eastAsia="zh-CN"/>
        </w:rPr>
        <w:t>下行幅度有限，</w:t>
      </w:r>
      <w:r>
        <w:rPr>
          <w:rFonts w:hint="eastAsia"/>
          <w:lang w:eastAsia="zh-CN"/>
        </w:rPr>
        <w:t>或</w:t>
      </w:r>
      <w:r w:rsidRPr="00D244C6">
        <w:rPr>
          <w:rFonts w:hint="eastAsia"/>
          <w:lang w:eastAsia="zh-CN"/>
        </w:rPr>
        <w:t>将维持震荡行情。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二、投资环境回顾</w:t>
      </w:r>
    </w:p>
    <w:p w:rsidR="00565D88" w:rsidRPr="007B6692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基本面：</w:t>
      </w:r>
      <w:r w:rsidR="007B6692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11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月</w:t>
      </w:r>
      <w:r w:rsidR="007B6692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制造业</w:t>
      </w:r>
      <w:r w:rsidR="007B6692" w:rsidRPr="007B6692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景气水平有所改善</w:t>
      </w:r>
    </w:p>
    <w:p w:rsidR="007B6692" w:rsidRPr="007B6692" w:rsidRDefault="007B6692" w:rsidP="007B6692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proofErr w:type="gramStart"/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受贸易</w:t>
      </w:r>
      <w:proofErr w:type="gramEnd"/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环境改善影响</w:t>
      </w:r>
      <w:r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月，产需指数双双回升，带动制造业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PMI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较前月回升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0.2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个百分点至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49.2%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。其中，新订单指数、生产指数分别较前月回升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0.4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lastRenderedPageBreak/>
        <w:t>个、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0.3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个百分点至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49.2%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50.0%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，拉动制造业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PMI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较前月回升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0.1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个、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0.1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个百分点。</w:t>
      </w:r>
      <w:r>
        <w:rPr>
          <w:rFonts w:hint="eastAsia"/>
          <w:shd w:val="clear" w:color="auto" w:fill="FFFFFF"/>
          <w:lang w:eastAsia="zh-CN"/>
        </w:rPr>
        <w:t>受假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期效应消退等因素影响，服务业商务活动指数为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49.5%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，比上月下降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0.7</w:t>
      </w:r>
      <w:r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个百分点。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服务业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PMI</w:t>
      </w:r>
      <w:r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弱于季节性回落，建筑业受政策落地提振小幅回升</w:t>
      </w:r>
      <w:r>
        <w:rPr>
          <w:color w:val="222222"/>
          <w:sz w:val="29"/>
          <w:szCs w:val="29"/>
          <w:lang w:eastAsia="zh-CN"/>
        </w:rPr>
        <w:t>。</w:t>
      </w:r>
      <w:r w:rsidR="00C035A0"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综合</w:t>
      </w:r>
      <w:r w:rsidR="00C035A0"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PMI</w:t>
      </w:r>
      <w:r w:rsidR="00C035A0"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产出指数为</w:t>
      </w:r>
      <w:r w:rsidR="00C035A0"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49.7%</w:t>
      </w:r>
      <w:r w:rsidR="00C035A0"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，比上月下降</w:t>
      </w:r>
      <w:r w:rsidR="00C035A0" w:rsidRPr="007B6692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0.3</w:t>
      </w:r>
      <w:r w:rsidR="00C035A0" w:rsidRPr="007B6692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个百分点，我国经济景气水平总体平稳。</w:t>
      </w:r>
      <w:r w:rsidR="00C035A0" w:rsidRPr="00F752C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总体而言，</w:t>
      </w:r>
      <w:r w:rsidR="00C035A0" w:rsidRPr="00F752C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PMI</w:t>
      </w:r>
      <w:r w:rsidR="00C035A0" w:rsidRPr="00F752C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略有改善，但已连续</w:t>
      </w:r>
      <w:r w:rsidR="00C035A0" w:rsidRPr="00F752C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8</w:t>
      </w:r>
      <w:r w:rsidR="00C035A0" w:rsidRPr="00F752CE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个月处于荣枯线以下，显示经济整体仍处于弱修复过程中。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资金面：</w:t>
      </w:r>
      <w:r w:rsidR="00DB4578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11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月整体</w:t>
      </w:r>
      <w:r w:rsidR="00DB4578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合理充裕</w:t>
      </w:r>
    </w:p>
    <w:p w:rsidR="00C3774C" w:rsidRPr="00C035A0" w:rsidRDefault="00C3774C" w:rsidP="00C035A0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在央行加码呵护下，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月资金面虽略有波动，但整体保持合理充裕。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央行披露数据显示，尽管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11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月当月央行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7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天期逆回购操作实现净回笼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5562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亿元，但中长期流动性仍处于净投放状态。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月流动性净投放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3139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亿元，其中买断式逆回购、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MLF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分别净投放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5000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亿元、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1000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亿元，公开市场国债买卖净投放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500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亿元。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这已是央行连续两个月开展国债买卖操作，且当月净投放规模较</w:t>
      </w:r>
      <w:r w:rsidR="00DB4578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10</w:t>
      </w:r>
      <w:r w:rsidR="00DB4578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月有所扩大。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数据显示：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R001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月均值环比上行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个基点至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1.43%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、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R007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月均值基本持平于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1.50%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附近；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DR001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月均值环比上行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3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个基点至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1.37%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、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DR007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月均值环比上行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个基点至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1.47%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。</w:t>
      </w:r>
    </w:p>
    <w:p w:rsidR="0057378D" w:rsidRPr="0057378D" w:rsidRDefault="00565D88" w:rsidP="00985280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政策面：</w:t>
      </w:r>
      <w:r w:rsidR="0057378D" w:rsidRP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放大</w:t>
      </w:r>
      <w:r w:rsidR="0057378D" w:rsidRP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“</w:t>
      </w:r>
      <w:r w:rsidR="0057378D" w:rsidRP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两重</w:t>
      </w:r>
      <w:r w:rsidR="0057378D" w:rsidRP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”</w:t>
      </w:r>
      <w:r w:rsidR="0057378D" w:rsidRP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建设效应</w:t>
      </w:r>
    </w:p>
    <w:p w:rsidR="00985280" w:rsidRPr="00C035A0" w:rsidRDefault="000F2F8A" w:rsidP="00985280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11</w:t>
      </w:r>
      <w:r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</w:t>
      </w:r>
      <w:r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7</w:t>
      </w:r>
      <w:r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日</w:t>
      </w:r>
      <w:r w:rsidR="00985280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国务院办公厅印发</w:t>
      </w:r>
      <w:r w:rsidR="00985280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《关于加快场景培育和开放推动新场景大规模应用的实施意见》</w:t>
      </w:r>
      <w:r w:rsidR="00985280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。《意见》要求，充分发挥</w:t>
      </w:r>
      <w:proofErr w:type="gramStart"/>
      <w:r w:rsidR="00985280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我国超</w:t>
      </w:r>
      <w:proofErr w:type="gramEnd"/>
      <w:r w:rsidR="00985280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大规模市场和丰富应用场景优势，</w:t>
      </w:r>
      <w:r w:rsidR="00985280" w:rsidRP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支持建设一批综合性重大场景、行业领域集成式场景、高价值小切口场景</w:t>
      </w:r>
      <w:r w:rsidR="00985280"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，为加快培育发展新质生产力、推动经济社会高质量发展提供有力支撑。</w:t>
      </w:r>
    </w:p>
    <w:p w:rsidR="00985280" w:rsidRPr="000F2F8A" w:rsidRDefault="00985280" w:rsidP="000F2F8A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14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日国务院常务会议研究深入实施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“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两重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”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建设有关工作。会议指出，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要把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“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两重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”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建设放在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“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十五五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”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全局中谋划和推进，牢牢把握战略性、前瞻性、全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lastRenderedPageBreak/>
        <w:t>局性要求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，强化部门协同，注重软硬结合，推动国家重大战略深入实施、重点领域安全能力稳步提升。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要优化项目审核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，更加注重创新要素投入、无形资产投资，促进新质生产力发展。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要健全项目协调推进机制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，严格工程质量和安全管理，同步做好资产管理、后续运维等工作。</w:t>
      </w:r>
      <w:r w:rsidRPr="00C035A0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要合理安排项目建设与资金拨付节奏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，强化项目和资金匹配，积极撬动超长期贷款、政策性金融等资金，引导更多民间资本参与，放大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“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两重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”</w:t>
      </w:r>
      <w:r w:rsidRPr="000F2F8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建设效应。</w:t>
      </w:r>
    </w:p>
    <w:p w:rsidR="00565D88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国际面：</w:t>
      </w:r>
      <w:r w:rsidRPr="00CE1A9A">
        <w:rPr>
          <w:rFonts w:ascii="Segoe UI" w:eastAsia="宋体" w:hAnsi="Segoe UI" w:cs="Segoe UI"/>
          <w:b/>
          <w:snapToGrid/>
          <w:color w:val="0F1115"/>
          <w:sz w:val="24"/>
          <w:szCs w:val="24"/>
          <w:lang w:eastAsia="zh-CN"/>
        </w:rPr>
        <w:t>预期美联储将进一步降息</w:t>
      </w:r>
    </w:p>
    <w:p w:rsidR="006C3FBE" w:rsidRPr="003A2741" w:rsidRDefault="006C3FBE" w:rsidP="003A2741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由于市场对人工智能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(AI)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企业未来盈利能力的疑虑升温，科技股出现回调，拖累了主要股指的月度表现。纳斯达克综合指数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11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月累计下跌近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2%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，终结了此前连续七个月的上涨势头；标准普尔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500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指数和道琼斯工业平均指数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11</w:t>
      </w:r>
      <w:proofErr w:type="gramStart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分</w:t>
      </w:r>
      <w:proofErr w:type="gramEnd"/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别累计上涨了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0.13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和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0.32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实现了连续七个月收涨。</w:t>
      </w:r>
    </w:p>
    <w:p w:rsidR="006C3FBE" w:rsidRPr="003A2741" w:rsidRDefault="006C3FBE" w:rsidP="003A2741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市场对美联储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12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月降息的预期依然强烈。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高</w:t>
      </w:r>
      <w:proofErr w:type="gramStart"/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盛研究</w:t>
      </w:r>
      <w:proofErr w:type="gramEnd"/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公司首席经济学家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 xml:space="preserve">Jan </w:t>
      </w:r>
      <w:proofErr w:type="spellStart"/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Hatzius</w:t>
      </w:r>
      <w:proofErr w:type="spellEnd"/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在最新发布的报告中表示，近期延迟发布的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9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月非农就业报告显示，美国劳动力市场明显出现了降温迹象，这可能意味着美联储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12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月降息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25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个基点已经基本板上钉钉。</w:t>
      </w:r>
    </w:p>
    <w:p w:rsidR="006C3FBE" w:rsidRPr="003A2741" w:rsidRDefault="006C3FBE" w:rsidP="003A2741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中长期美债收益率上扬，两年期国债上涨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1.6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个基点，至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3.50%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；十年期国债收益率上涨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2.5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个基点，至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 xml:space="preserve"> 4.02%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汇率面：人民币</w:t>
      </w:r>
      <w:r w:rsidR="0057378D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兑美元升值</w:t>
      </w:r>
    </w:p>
    <w:p w:rsidR="008362A4" w:rsidRPr="003A2741" w:rsidRDefault="008362A4" w:rsidP="003A2741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11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人民币兑美元升值幅度较大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，在岸与离岸人民币汇率双双突破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7.07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关口，创下逾一年新高。市场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认为，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中美利差持续收窄、出口</w:t>
      </w:r>
      <w:proofErr w:type="gramStart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韧性超</w:t>
      </w:r>
      <w:proofErr w:type="gramEnd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预期、企业结汇需求集中释放，三者形成正向循环，推动汇率进入“突破式走强”阶段。本轮人民币升值的幅度远超美元贬值幅度，其背后是资产价格与汇率的正向联动。高盛等机构指出，人民币汇率仍被显著低估，未来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12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个月有望看向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6.85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附近。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lastRenderedPageBreak/>
        <w:t>市场面：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A</w:t>
      </w:r>
      <w:r w:rsid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股整体</w:t>
      </w:r>
      <w:r w:rsidR="0057378D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呈</w:t>
      </w:r>
      <w:r w:rsidR="0057378D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震荡格局</w:t>
      </w:r>
    </w:p>
    <w:p w:rsidR="0057378D" w:rsidRPr="003A2741" w:rsidRDefault="008362A4" w:rsidP="003A2741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2025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A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股市场整体呈现震荡调整格局，沪指终结了月线六连阳，上证</w:t>
      </w:r>
      <w:proofErr w:type="gramStart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指数月</w:t>
      </w:r>
      <w:proofErr w:type="gramEnd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累计下跌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1.67%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沪深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300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指数累计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下跌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2.46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%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深证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成指累计下跌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2.95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%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创业板指累计下跌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4.23%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proofErr w:type="gramStart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而北证</w:t>
      </w:r>
      <w:proofErr w:type="gramEnd"/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50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指数累计下跌</w:t>
      </w:r>
      <w:r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12.32%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</w:t>
      </w:r>
    </w:p>
    <w:p w:rsidR="0057378D" w:rsidRPr="003A2741" w:rsidRDefault="00565D88" w:rsidP="003A2741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申万</w:t>
      </w:r>
      <w:proofErr w:type="gramStart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31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个一级行业</w:t>
      </w:r>
      <w:proofErr w:type="gramEnd"/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中，仅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13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个行业录得正收益。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综合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银行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纺织服饰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石油石化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和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轻工制造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居前，分别为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4.06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2.99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2.95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2.90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和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2.32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%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</w:t>
      </w:r>
      <w:r w:rsidR="0057378D"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计算机、</w:t>
      </w:r>
      <w:r w:rsidR="0057378D" w:rsidRPr="003A2741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汽车和电子</w:t>
      </w:r>
      <w:r w:rsidRPr="003A2741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等表现相对落后。</w:t>
      </w:r>
    </w:p>
    <w:p w:rsidR="00565D88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债市：</w:t>
      </w:r>
      <w:r w:rsidR="00BF0F0B">
        <w:rPr>
          <w:rFonts w:ascii="Segoe UI" w:eastAsia="宋体" w:hAnsi="Segoe UI" w:cs="Segoe UI" w:hint="eastAsia"/>
          <w:b/>
          <w:bCs/>
          <w:snapToGrid/>
          <w:color w:val="0F1115"/>
          <w:sz w:val="24"/>
          <w:szCs w:val="24"/>
          <w:lang w:eastAsia="zh-CN"/>
        </w:rPr>
        <w:t>二级市场收益率</w:t>
      </w: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总体上行</w:t>
      </w:r>
    </w:p>
    <w:p w:rsidR="00F752CE" w:rsidRPr="00BF0F0B" w:rsidRDefault="00F752CE" w:rsidP="00BF0F0B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2025</w:t>
      </w:r>
      <w:r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年</w:t>
      </w:r>
      <w:r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11</w:t>
      </w:r>
      <w:r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月份债市呈现震荡偏弱走势，主因是市场情绪受到降息预期降温，以及销售新</w:t>
      </w:r>
      <w:proofErr w:type="gramStart"/>
      <w:r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规</w:t>
      </w:r>
      <w:proofErr w:type="gramEnd"/>
      <w:r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潜在延后等因素扰动。</w:t>
      </w:r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11</w:t>
      </w:r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月全月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，国债</w:t>
      </w:r>
      <w:r w:rsidR="00BF0F0B"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方面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：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1-3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年收益率上行约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2bp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r w:rsidR="00C035A0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5-7</w:t>
      </w:r>
      <w:r w:rsidR="00C035A0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年收益率上行</w:t>
      </w:r>
      <w:r w:rsidR="00C035A0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 xml:space="preserve">5-7bp </w:t>
      </w:r>
      <w:r w:rsidR="00C035A0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10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年、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30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年收益率上行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4-5bp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。信用债</w:t>
      </w:r>
      <w:r w:rsidR="00BF0F0B" w:rsidRPr="00BF0F0B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方面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：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年、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</w:t>
      </w:r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5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年期隐含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AA+</w:t>
      </w:r>
      <w:proofErr w:type="gramStart"/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城投债收益率</w:t>
      </w:r>
      <w:proofErr w:type="gramEnd"/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分别上行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3bp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6bp</w:t>
      </w:r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1bp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1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年、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3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</w:t>
      </w:r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5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年期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AAA-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二级资本债收益率上行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5bp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、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8bp</w:t>
      </w:r>
      <w:r w:rsidR="00C035A0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和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6bp</w:t>
      </w:r>
      <w:r w:rsidR="00BF0F0B" w:rsidRPr="00BF0F0B">
        <w:rPr>
          <w:rFonts w:ascii="Segoe UI" w:eastAsia="宋体" w:hAnsi="Segoe UI" w:cs="Segoe UI" w:hint="eastAsia"/>
          <w:snapToGrid/>
          <w:color w:val="0F1115"/>
          <w:sz w:val="24"/>
          <w:szCs w:val="24"/>
          <w:lang w:eastAsia="zh-CN"/>
        </w:rPr>
        <w:t>。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数据来源：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Wind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2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b/>
          <w:bCs/>
          <w:snapToGrid/>
          <w:color w:val="0F1115"/>
          <w:sz w:val="24"/>
          <w:szCs w:val="24"/>
          <w:lang w:eastAsia="zh-CN"/>
        </w:rPr>
        <w:t>风险提示：</w:t>
      </w:r>
    </w:p>
    <w:p w:rsidR="00565D88" w:rsidRPr="00CE1A9A" w:rsidRDefault="00565D88" w:rsidP="00565D88">
      <w:pPr>
        <w:shd w:val="clear" w:color="auto" w:fill="FFFFFF"/>
        <w:kinsoku/>
        <w:autoSpaceDE/>
        <w:autoSpaceDN/>
        <w:adjustRightInd/>
        <w:snapToGrid/>
        <w:spacing w:beforeLines="50" w:before="156" w:line="360" w:lineRule="auto"/>
        <w:ind w:firstLineChars="200" w:firstLine="480"/>
        <w:jc w:val="both"/>
        <w:textAlignment w:val="auto"/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</w:pP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本报告仅供参考，不构成任何投资建议或承诺，观点具有时效性。本材料</w:t>
      </w:r>
      <w:proofErr w:type="gramStart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非基金</w:t>
      </w:r>
      <w:proofErr w:type="gramEnd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宣传推介材料，亦不构成任何法律文件。若本材料转载第三方报告或资料，转载内容仅代表该第三方观点，不代表本公司立场。本报告版权归</w:t>
      </w:r>
      <w:proofErr w:type="gramStart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凯石基金</w:t>
      </w:r>
      <w:proofErr w:type="gramEnd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管理有限公司所有，未经本公司事先书面授权，任何人不得对本报告内容进行任何形式的发布、复制。如引用、刊发，需注明出处为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“</w:t>
      </w:r>
      <w:proofErr w:type="gramStart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凯石基金</w:t>
      </w:r>
      <w:proofErr w:type="gramEnd"/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管理有限公司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”</w:t>
      </w:r>
      <w:r w:rsidRPr="00CE1A9A">
        <w:rPr>
          <w:rFonts w:ascii="Segoe UI" w:eastAsia="宋体" w:hAnsi="Segoe UI" w:cs="Segoe UI"/>
          <w:snapToGrid/>
          <w:color w:val="0F1115"/>
          <w:sz w:val="24"/>
          <w:szCs w:val="24"/>
          <w:lang w:eastAsia="zh-CN"/>
        </w:rPr>
        <w:t>，且不得对本报告内容进行有违原意的删节或修改。投资有风险，敬请谨慎选择并详细阅读基金法律文件。</w:t>
      </w:r>
    </w:p>
    <w:p w:rsidR="00565D88" w:rsidRPr="00CE1A9A" w:rsidRDefault="00565D88" w:rsidP="00565D88">
      <w:pPr>
        <w:kinsoku/>
        <w:spacing w:beforeLines="50" w:before="156" w:line="360" w:lineRule="auto"/>
        <w:ind w:firstLineChars="200" w:firstLine="420"/>
        <w:jc w:val="both"/>
        <w:rPr>
          <w:lang w:eastAsia="zh-CN"/>
        </w:rPr>
      </w:pPr>
    </w:p>
    <w:p w:rsidR="000920CD" w:rsidRDefault="000920CD">
      <w:pPr>
        <w:rPr>
          <w:lang w:eastAsia="zh-CN"/>
        </w:rPr>
      </w:pPr>
    </w:p>
    <w:sectPr w:rsidR="000920CD" w:rsidSect="0034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78"/>
    <w:rsid w:val="00014C99"/>
    <w:rsid w:val="000920CD"/>
    <w:rsid w:val="000F2F8A"/>
    <w:rsid w:val="0013597E"/>
    <w:rsid w:val="002362F8"/>
    <w:rsid w:val="002D2FC4"/>
    <w:rsid w:val="003A2741"/>
    <w:rsid w:val="003D0A77"/>
    <w:rsid w:val="004918E2"/>
    <w:rsid w:val="005640CA"/>
    <w:rsid w:val="00565D88"/>
    <w:rsid w:val="0057378D"/>
    <w:rsid w:val="0061721C"/>
    <w:rsid w:val="006C3FBE"/>
    <w:rsid w:val="007B6692"/>
    <w:rsid w:val="008362A4"/>
    <w:rsid w:val="0096046A"/>
    <w:rsid w:val="00985280"/>
    <w:rsid w:val="00BF0F0B"/>
    <w:rsid w:val="00BF6156"/>
    <w:rsid w:val="00C035A0"/>
    <w:rsid w:val="00C3774C"/>
    <w:rsid w:val="00C83040"/>
    <w:rsid w:val="00DB4578"/>
    <w:rsid w:val="00E17B56"/>
    <w:rsid w:val="00F60178"/>
    <w:rsid w:val="00F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11F91-0DA7-4B49-82A9-21BBD87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8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B6692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985280"/>
    <w:rPr>
      <w:b/>
      <w:bCs/>
    </w:rPr>
  </w:style>
  <w:style w:type="character" w:styleId="a5">
    <w:name w:val="Hyperlink"/>
    <w:basedOn w:val="a0"/>
    <w:uiPriority w:val="99"/>
    <w:semiHidden/>
    <w:unhideWhenUsed/>
    <w:rsid w:val="006C3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8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9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李春霞</dc:creator>
  <cp:keywords/>
  <dc:description/>
  <cp:lastModifiedBy>李春霞</cp:lastModifiedBy>
  <cp:revision>14</cp:revision>
  <dcterms:created xsi:type="dcterms:W3CDTF">2025-12-03T06:49:00Z</dcterms:created>
  <dcterms:modified xsi:type="dcterms:W3CDTF">2025-12-09T06:15:00Z</dcterms:modified>
</cp:coreProperties>
</file>